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44C73A" w14:textId="77777777" w:rsidR="0098021B" w:rsidRPr="00550BA4" w:rsidRDefault="00000000" w:rsidP="00550BA4">
      <w:pPr>
        <w:keepNext/>
        <w:keepLines/>
        <w:spacing w:after="0"/>
        <w:jc w:val="center"/>
        <w:rPr>
          <w:rFonts w:cs="Arial"/>
        </w:rPr>
      </w:pPr>
      <w:r w:rsidRPr="00550BA4">
        <w:rPr>
          <w:rFonts w:cs="Arial"/>
          <w:b/>
          <w:sz w:val="44"/>
        </w:rPr>
        <w:t>PROTECT SECTION 106</w:t>
      </w:r>
    </w:p>
    <w:p w14:paraId="129BD65D" w14:textId="77777777" w:rsidR="0098021B" w:rsidRDefault="00000000" w:rsidP="00550BA4">
      <w:pPr>
        <w:keepLines/>
        <w:spacing w:after="0"/>
        <w:jc w:val="center"/>
        <w:rPr>
          <w:rFonts w:cs="Arial"/>
          <w:b/>
          <w:sz w:val="24"/>
        </w:rPr>
      </w:pPr>
      <w:r w:rsidRPr="00550BA4">
        <w:rPr>
          <w:rFonts w:cs="Arial"/>
          <w:b/>
          <w:sz w:val="24"/>
        </w:rPr>
        <w:t>America can build for the future without erasing its past.</w:t>
      </w:r>
    </w:p>
    <w:p w14:paraId="12593A3E" w14:textId="77777777" w:rsidR="00550BA4" w:rsidRPr="00550BA4" w:rsidRDefault="00550BA4" w:rsidP="00550BA4">
      <w:pPr>
        <w:keepLines/>
        <w:spacing w:after="0"/>
        <w:jc w:val="center"/>
        <w:rPr>
          <w:rFonts w:cs="Arial"/>
        </w:rPr>
      </w:pPr>
    </w:p>
    <w:tbl>
      <w:tblPr>
        <w:tblW w:w="0" w:type="auto"/>
        <w:jc w:val="center"/>
        <w:tblLook w:val="04A0" w:firstRow="1" w:lastRow="0" w:firstColumn="1" w:lastColumn="0" w:noHBand="0" w:noVBand="1"/>
      </w:tblPr>
      <w:tblGrid>
        <w:gridCol w:w="10656"/>
      </w:tblGrid>
      <w:tr w:rsidR="0098021B" w:rsidRPr="00550BA4" w14:paraId="3A9A0129" w14:textId="77777777" w:rsidTr="00550BA4">
        <w:trPr>
          <w:jc w:val="center"/>
        </w:trPr>
        <w:tc>
          <w:tcPr>
            <w:tcW w:w="10656" w:type="dxa"/>
            <w:shd w:val="clear" w:color="auto" w:fill="BFBFBF" w:themeFill="background1" w:themeFillShade="BF"/>
            <w:tcMar>
              <w:top w:w="100" w:type="dxa"/>
              <w:left w:w="130" w:type="dxa"/>
              <w:bottom w:w="100" w:type="dxa"/>
              <w:right w:w="130" w:type="dxa"/>
            </w:tcMar>
          </w:tcPr>
          <w:p w14:paraId="7F7B5C89" w14:textId="77777777" w:rsidR="0098021B" w:rsidRPr="00550BA4" w:rsidRDefault="00000000" w:rsidP="00550BA4">
            <w:pPr>
              <w:keepLines/>
              <w:spacing w:after="0"/>
              <w:rPr>
                <w:rFonts w:cs="Arial"/>
              </w:rPr>
            </w:pPr>
            <w:r w:rsidRPr="00550BA4">
              <w:rPr>
                <w:rFonts w:cs="Arial"/>
                <w:b/>
              </w:rPr>
              <w:t>OUR ASK TO SENATOR/</w:t>
            </w:r>
            <w:proofErr w:type="gramStart"/>
            <w:r w:rsidRPr="00550BA4">
              <w:rPr>
                <w:rFonts w:cs="Arial"/>
                <w:b/>
              </w:rPr>
              <w:t xml:space="preserve">REPRESENTATIVE </w:t>
            </w:r>
            <w:r w:rsidRPr="00114571">
              <w:rPr>
                <w:rFonts w:cs="Arial"/>
                <w:b/>
                <w:highlight w:val="yellow"/>
              </w:rPr>
              <w:t>___</w:t>
            </w:r>
            <w:proofErr w:type="gramEnd"/>
            <w:r w:rsidRPr="00114571">
              <w:rPr>
                <w:rFonts w:cs="Arial"/>
                <w:b/>
                <w:highlight w:val="yellow"/>
              </w:rPr>
              <w:t>_________________</w:t>
            </w:r>
            <w:r w:rsidRPr="00550BA4">
              <w:rPr>
                <w:rFonts w:cs="Arial"/>
                <w:b/>
              </w:rPr>
              <w:t xml:space="preserve">: </w:t>
            </w:r>
            <w:r w:rsidRPr="00550BA4">
              <w:rPr>
                <w:rFonts w:cs="Arial"/>
              </w:rPr>
              <w:t>Oppose legislative or regulatory efforts to weaken Section 106 of the National Historic Preservation Act.</w:t>
            </w:r>
          </w:p>
        </w:tc>
      </w:tr>
    </w:tbl>
    <w:p w14:paraId="412B5271" w14:textId="7035B4A0" w:rsidR="0098021B" w:rsidRPr="00550BA4" w:rsidRDefault="00000000" w:rsidP="00550BA4">
      <w:pPr>
        <w:pStyle w:val="Heading1"/>
        <w:spacing w:after="0"/>
        <w:rPr>
          <w:rFonts w:ascii="Arial" w:hAnsi="Arial" w:cs="Arial"/>
        </w:rPr>
      </w:pPr>
      <w:r w:rsidRPr="00550BA4">
        <w:rPr>
          <w:rFonts w:ascii="Arial" w:hAnsi="Arial" w:cs="Arial"/>
        </w:rPr>
        <w:t>What Section 106 does</w:t>
      </w:r>
    </w:p>
    <w:p w14:paraId="36069D02" w14:textId="77777777" w:rsidR="0098021B" w:rsidRPr="00550BA4" w:rsidRDefault="00000000" w:rsidP="00550BA4">
      <w:pPr>
        <w:keepLines/>
        <w:spacing w:after="0"/>
        <w:rPr>
          <w:rFonts w:cs="Arial"/>
        </w:rPr>
      </w:pPr>
      <w:r w:rsidRPr="00550BA4">
        <w:rPr>
          <w:rFonts w:cs="Arial"/>
        </w:rPr>
        <w:t>For sixty years, Section 106 has given Tribal Nations, communities, local governments, preservation organizations, and the public a voice before federally involved projects damage or destroy historic places. It requires federal agencies to identify historic properties that may be affected, consider the consequences of their decisions, and consult about ways to avoid, minimize, or mitigate harm.</w:t>
      </w:r>
    </w:p>
    <w:p w14:paraId="36C2150B" w14:textId="77777777" w:rsidR="0098021B" w:rsidRDefault="00000000" w:rsidP="00550BA4">
      <w:pPr>
        <w:keepLines/>
        <w:spacing w:after="0"/>
        <w:rPr>
          <w:rFonts w:cs="Arial"/>
        </w:rPr>
      </w:pPr>
      <w:r w:rsidRPr="00550BA4">
        <w:rPr>
          <w:rFonts w:cs="Arial"/>
        </w:rPr>
        <w:t>Section 106 does not automatically stop projects. It helps us make better decisions before something irreplaceable is lost.</w:t>
      </w:r>
    </w:p>
    <w:p w14:paraId="451170FD" w14:textId="77777777" w:rsidR="00550BA4" w:rsidRPr="00550BA4" w:rsidRDefault="00550BA4" w:rsidP="00550BA4">
      <w:pPr>
        <w:keepLines/>
        <w:spacing w:after="0"/>
        <w:rPr>
          <w:rFonts w:cs="Arial"/>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5328"/>
        <w:gridCol w:w="5328"/>
      </w:tblGrid>
      <w:tr w:rsidR="0098021B" w:rsidRPr="00550BA4" w14:paraId="3235F55D" w14:textId="77777777" w:rsidTr="4743FC74">
        <w:trPr>
          <w:jc w:val="center"/>
        </w:trPr>
        <w:tc>
          <w:tcPr>
            <w:tcW w:w="5328" w:type="dxa"/>
            <w:shd w:val="clear" w:color="auto" w:fill="D9D9D9" w:themeFill="background1" w:themeFillShade="D9"/>
            <w:tcMar>
              <w:top w:w="70" w:type="dxa"/>
              <w:left w:w="90" w:type="dxa"/>
              <w:bottom w:w="70" w:type="dxa"/>
              <w:right w:w="90" w:type="dxa"/>
            </w:tcMar>
          </w:tcPr>
          <w:p w14:paraId="4EAE0D21" w14:textId="77777777" w:rsidR="0098021B" w:rsidRPr="00550BA4" w:rsidRDefault="00000000" w:rsidP="00550BA4">
            <w:pPr>
              <w:keepNext/>
              <w:keepLines/>
              <w:spacing w:after="0"/>
              <w:rPr>
                <w:rFonts w:cs="Arial"/>
              </w:rPr>
            </w:pPr>
            <w:r w:rsidRPr="00550BA4">
              <w:rPr>
                <w:rFonts w:cs="Arial"/>
                <w:b/>
                <w:sz w:val="21"/>
              </w:rPr>
              <w:t>DISCOVER</w:t>
            </w:r>
          </w:p>
          <w:p w14:paraId="063A856E" w14:textId="64292FDF" w:rsidR="0098021B" w:rsidRPr="00550BA4" w:rsidRDefault="4743FC74" w:rsidP="00550BA4">
            <w:pPr>
              <w:keepLines/>
              <w:spacing w:after="0"/>
              <w:rPr>
                <w:rFonts w:cs="Arial"/>
              </w:rPr>
            </w:pPr>
            <w:r w:rsidRPr="4743FC74">
              <w:rPr>
                <w:rFonts w:cs="Arial"/>
                <w:sz w:val="20"/>
                <w:szCs w:val="20"/>
              </w:rPr>
              <w:t>Historic places, archaeological resources, sacred sites, and other history before they are destroyed.</w:t>
            </w:r>
          </w:p>
        </w:tc>
        <w:tc>
          <w:tcPr>
            <w:tcW w:w="5328" w:type="dxa"/>
            <w:shd w:val="clear" w:color="auto" w:fill="D9D9D9" w:themeFill="background1" w:themeFillShade="D9"/>
            <w:tcMar>
              <w:top w:w="70" w:type="dxa"/>
              <w:left w:w="90" w:type="dxa"/>
              <w:bottom w:w="70" w:type="dxa"/>
              <w:right w:w="90" w:type="dxa"/>
            </w:tcMar>
          </w:tcPr>
          <w:p w14:paraId="0E1D89A8" w14:textId="77777777" w:rsidR="0098021B" w:rsidRPr="00550BA4" w:rsidRDefault="00000000" w:rsidP="00550BA4">
            <w:pPr>
              <w:keepNext/>
              <w:keepLines/>
              <w:spacing w:after="0"/>
              <w:rPr>
                <w:rFonts w:cs="Arial"/>
              </w:rPr>
            </w:pPr>
            <w:r w:rsidRPr="00550BA4">
              <w:rPr>
                <w:rFonts w:cs="Arial"/>
                <w:b/>
                <w:sz w:val="21"/>
              </w:rPr>
              <w:t>GIVE PEOPLE A VOICE</w:t>
            </w:r>
          </w:p>
          <w:p w14:paraId="1E36AA74" w14:textId="77777777" w:rsidR="0098021B" w:rsidRPr="00550BA4" w:rsidRDefault="00000000" w:rsidP="00550BA4">
            <w:pPr>
              <w:keepLines/>
              <w:spacing w:after="0"/>
              <w:rPr>
                <w:rFonts w:cs="Arial"/>
              </w:rPr>
            </w:pPr>
            <w:r w:rsidRPr="00550BA4">
              <w:rPr>
                <w:rFonts w:cs="Arial"/>
                <w:sz w:val="20"/>
              </w:rPr>
              <w:t>Communities and Tribal Nations can participate before federal decisions become irreversible.</w:t>
            </w:r>
          </w:p>
        </w:tc>
      </w:tr>
      <w:tr w:rsidR="0098021B" w:rsidRPr="00550BA4" w14:paraId="55893C01" w14:textId="77777777" w:rsidTr="4743FC74">
        <w:trPr>
          <w:jc w:val="center"/>
        </w:trPr>
        <w:tc>
          <w:tcPr>
            <w:tcW w:w="5328" w:type="dxa"/>
            <w:shd w:val="clear" w:color="auto" w:fill="D9D9D9" w:themeFill="background1" w:themeFillShade="D9"/>
            <w:tcMar>
              <w:top w:w="70" w:type="dxa"/>
              <w:left w:w="90" w:type="dxa"/>
              <w:bottom w:w="70" w:type="dxa"/>
              <w:right w:w="90" w:type="dxa"/>
            </w:tcMar>
          </w:tcPr>
          <w:p w14:paraId="5B12C6BA" w14:textId="77777777" w:rsidR="0098021B" w:rsidRPr="00550BA4" w:rsidRDefault="00000000" w:rsidP="00550BA4">
            <w:pPr>
              <w:keepNext/>
              <w:keepLines/>
              <w:spacing w:after="0"/>
              <w:rPr>
                <w:rFonts w:cs="Arial"/>
              </w:rPr>
            </w:pPr>
            <w:r w:rsidRPr="00550BA4">
              <w:rPr>
                <w:rFonts w:cs="Arial"/>
                <w:b/>
                <w:sz w:val="21"/>
              </w:rPr>
              <w:t>IMPROVE PROJECTS</w:t>
            </w:r>
          </w:p>
          <w:p w14:paraId="7A5EB485" w14:textId="77777777" w:rsidR="0098021B" w:rsidRPr="00550BA4" w:rsidRDefault="00000000" w:rsidP="00550BA4">
            <w:pPr>
              <w:keepLines/>
              <w:spacing w:after="0"/>
              <w:rPr>
                <w:rFonts w:cs="Arial"/>
              </w:rPr>
            </w:pPr>
            <w:r w:rsidRPr="00550BA4">
              <w:rPr>
                <w:rFonts w:cs="Arial"/>
                <w:sz w:val="20"/>
              </w:rPr>
              <w:t>Early consultation can identify better locations, designs, approaches, and mitigation.</w:t>
            </w:r>
          </w:p>
        </w:tc>
        <w:tc>
          <w:tcPr>
            <w:tcW w:w="5328" w:type="dxa"/>
            <w:shd w:val="clear" w:color="auto" w:fill="D9D9D9" w:themeFill="background1" w:themeFillShade="D9"/>
            <w:tcMar>
              <w:top w:w="70" w:type="dxa"/>
              <w:left w:w="90" w:type="dxa"/>
              <w:bottom w:w="70" w:type="dxa"/>
              <w:right w:w="90" w:type="dxa"/>
            </w:tcMar>
          </w:tcPr>
          <w:p w14:paraId="1E404230" w14:textId="77777777" w:rsidR="0098021B" w:rsidRPr="00550BA4" w:rsidRDefault="00000000" w:rsidP="00550BA4">
            <w:pPr>
              <w:keepNext/>
              <w:keepLines/>
              <w:spacing w:after="0"/>
              <w:rPr>
                <w:rFonts w:cs="Arial"/>
              </w:rPr>
            </w:pPr>
            <w:r w:rsidRPr="00550BA4">
              <w:rPr>
                <w:rFonts w:cs="Arial"/>
                <w:b/>
                <w:sz w:val="21"/>
              </w:rPr>
              <w:t>PRESERVE HISTORY</w:t>
            </w:r>
          </w:p>
          <w:p w14:paraId="2237E642" w14:textId="77777777" w:rsidR="0098021B" w:rsidRPr="00550BA4" w:rsidRDefault="00000000" w:rsidP="00550BA4">
            <w:pPr>
              <w:keepLines/>
              <w:spacing w:after="0"/>
              <w:rPr>
                <w:rFonts w:cs="Arial"/>
              </w:rPr>
            </w:pPr>
            <w:r w:rsidRPr="00550BA4">
              <w:rPr>
                <w:rFonts w:cs="Arial"/>
                <w:sz w:val="20"/>
              </w:rPr>
              <w:t>Even when projects proceed, important places and information can be documented and harm reduced.</w:t>
            </w:r>
          </w:p>
        </w:tc>
      </w:tr>
    </w:tbl>
    <w:p w14:paraId="0CCFDDE4" w14:textId="77777777" w:rsidR="0098021B" w:rsidRPr="00550BA4" w:rsidRDefault="00000000" w:rsidP="00550BA4">
      <w:pPr>
        <w:pStyle w:val="Heading1"/>
        <w:spacing w:after="0"/>
        <w:rPr>
          <w:rFonts w:ascii="Arial" w:hAnsi="Arial" w:cs="Arial"/>
        </w:rPr>
      </w:pPr>
      <w:r w:rsidRPr="00550BA4">
        <w:rPr>
          <w:rFonts w:ascii="Arial" w:hAnsi="Arial" w:cs="Arial"/>
        </w:rPr>
        <w:t>Why this matters here at home</w:t>
      </w:r>
    </w:p>
    <w:p w14:paraId="1D801A0B" w14:textId="492878C5" w:rsidR="0098021B" w:rsidRDefault="00000000" w:rsidP="00550BA4">
      <w:pPr>
        <w:keepLines/>
        <w:spacing w:after="0"/>
        <w:rPr>
          <w:rFonts w:cs="Arial"/>
        </w:rPr>
      </w:pPr>
      <w:r w:rsidRPr="00550BA4">
        <w:rPr>
          <w:rFonts w:cs="Arial"/>
        </w:rPr>
        <w:t xml:space="preserve">LOCAL SECTION 106 STORY — </w:t>
      </w:r>
      <w:r w:rsidRPr="00114571">
        <w:rPr>
          <w:rFonts w:cs="Arial"/>
          <w:highlight w:val="yellow"/>
        </w:rPr>
        <w:t>Customize this box before your meeting in about 75 words: What place was at risk? What project triggered review? What did consultation accomplish? Did the project ultimately proceed?</w:t>
      </w:r>
    </w:p>
    <w:p w14:paraId="229E7BF0" w14:textId="77777777" w:rsidR="00550BA4" w:rsidRPr="00550BA4" w:rsidRDefault="00550BA4" w:rsidP="00550BA4">
      <w:pPr>
        <w:keepLines/>
        <w:spacing w:after="0"/>
        <w:rPr>
          <w:rFonts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46"/>
      </w:tblGrid>
      <w:tr w:rsidR="0098021B" w:rsidRPr="00550BA4" w14:paraId="36FAC878" w14:textId="77777777" w:rsidTr="00550BA4">
        <w:trPr>
          <w:jc w:val="center"/>
        </w:trPr>
        <w:tc>
          <w:tcPr>
            <w:tcW w:w="10656" w:type="dxa"/>
            <w:shd w:val="clear" w:color="auto" w:fill="D9D9D9" w:themeFill="background1" w:themeFillShade="D9"/>
            <w:tcMar>
              <w:top w:w="100" w:type="dxa"/>
              <w:left w:w="120" w:type="dxa"/>
              <w:bottom w:w="100" w:type="dxa"/>
              <w:right w:w="120" w:type="dxa"/>
            </w:tcMar>
          </w:tcPr>
          <w:p w14:paraId="5673E3E6" w14:textId="77777777" w:rsidR="0098021B" w:rsidRPr="00550BA4" w:rsidRDefault="00000000" w:rsidP="00550BA4">
            <w:pPr>
              <w:keepLines/>
              <w:spacing w:after="0"/>
              <w:rPr>
                <w:rFonts w:cs="Arial"/>
              </w:rPr>
            </w:pPr>
            <w:r w:rsidRPr="00114571">
              <w:rPr>
                <w:rFonts w:cs="Arial"/>
                <w:i/>
                <w:sz w:val="21"/>
                <w:highlight w:val="yellow"/>
              </w:rPr>
              <w:t>[Insert your local story here. Add one small photo if useful.]</w:t>
            </w:r>
          </w:p>
        </w:tc>
      </w:tr>
    </w:tbl>
    <w:p w14:paraId="4DE97C3C" w14:textId="77777777" w:rsidR="0098021B" w:rsidRPr="00550BA4" w:rsidRDefault="00000000" w:rsidP="00550BA4">
      <w:pPr>
        <w:pStyle w:val="Heading1"/>
        <w:spacing w:after="0"/>
        <w:rPr>
          <w:rFonts w:ascii="Arial" w:hAnsi="Arial" w:cs="Arial"/>
        </w:rPr>
      </w:pPr>
      <w:r w:rsidRPr="00550BA4">
        <w:rPr>
          <w:rFonts w:ascii="Arial" w:hAnsi="Arial" w:cs="Arial"/>
        </w:rPr>
        <w:t>An extraordinary national coalition is speaking up</w:t>
      </w:r>
    </w:p>
    <w:p w14:paraId="114FDF12" w14:textId="241A3630" w:rsidR="0098021B" w:rsidRPr="00550BA4" w:rsidRDefault="00661992" w:rsidP="00550BA4">
      <w:pPr>
        <w:keepLines/>
        <w:spacing w:after="0"/>
        <w:rPr>
          <w:rFonts w:cs="Arial"/>
        </w:rPr>
      </w:pPr>
      <w:r>
        <w:rPr>
          <w:rFonts w:cs="Arial"/>
        </w:rPr>
        <w:t>Nearly 7</w:t>
      </w:r>
      <w:r w:rsidRPr="00550BA4">
        <w:rPr>
          <w:rFonts w:cs="Arial"/>
        </w:rPr>
        <w:t xml:space="preserve">00 organizations and Tribal Nations </w:t>
      </w:r>
      <w:r>
        <w:rPr>
          <w:rFonts w:cs="Arial"/>
        </w:rPr>
        <w:t xml:space="preserve">representing more than 7 million Americans </w:t>
      </w:r>
      <w:r w:rsidRPr="00550BA4">
        <w:rPr>
          <w:rFonts w:cs="Arial"/>
        </w:rPr>
        <w:t>have joined together to defend Section 106. They include organizations and people who work every day with historic places, infrastructure, development, Tribal heritage, archaeology, architecture, museums, local government, and communities.</w:t>
      </w:r>
    </w:p>
    <w:p w14:paraId="402D5DC7" w14:textId="77777777" w:rsidR="0098021B" w:rsidRPr="00550BA4" w:rsidRDefault="00000000" w:rsidP="00550BA4">
      <w:pPr>
        <w:keepLines/>
        <w:spacing w:after="0"/>
        <w:rPr>
          <w:rFonts w:cs="Arial"/>
        </w:rPr>
      </w:pPr>
      <w:r w:rsidRPr="00550BA4">
        <w:rPr>
          <w:rFonts w:cs="Arial"/>
        </w:rPr>
        <w:t>We support making federal review more efficient and effective. But efficiency should come from better planning, earlier consultation, adequate staffing, technology, and evidence-based improvements—not by silencing communities or weakening the protections Congress created.</w:t>
      </w:r>
    </w:p>
    <w:p w14:paraId="27736387" w14:textId="77777777" w:rsidR="0098021B" w:rsidRPr="00550BA4" w:rsidRDefault="00000000" w:rsidP="00550BA4">
      <w:pPr>
        <w:pStyle w:val="Heading1"/>
        <w:spacing w:after="0"/>
        <w:rPr>
          <w:rFonts w:ascii="Arial" w:hAnsi="Arial" w:cs="Arial"/>
        </w:rPr>
      </w:pPr>
      <w:r w:rsidRPr="00550BA4">
        <w:rPr>
          <w:rFonts w:ascii="Arial" w:hAnsi="Arial" w:cs="Arial"/>
        </w:rPr>
        <w:t>What we are asking Congress to do</w:t>
      </w:r>
    </w:p>
    <w:p w14:paraId="10BDE96B" w14:textId="77777777" w:rsidR="0098021B" w:rsidRPr="00550BA4" w:rsidRDefault="00000000" w:rsidP="00550BA4">
      <w:pPr>
        <w:pStyle w:val="ListBullet"/>
        <w:keepLines/>
        <w:spacing w:after="0"/>
        <w:ind w:left="317" w:hanging="202"/>
        <w:rPr>
          <w:rFonts w:cs="Arial"/>
        </w:rPr>
      </w:pPr>
      <w:r w:rsidRPr="00550BA4">
        <w:rPr>
          <w:rFonts w:cs="Arial"/>
        </w:rPr>
        <w:t>OPPOSE proposals that weaken Section 106’s protections for historic places.</w:t>
      </w:r>
    </w:p>
    <w:p w14:paraId="60B06A43" w14:textId="77777777" w:rsidR="0098021B" w:rsidRPr="00550BA4" w:rsidRDefault="00000000" w:rsidP="00550BA4">
      <w:pPr>
        <w:pStyle w:val="ListBullet"/>
        <w:keepLines/>
        <w:spacing w:after="0"/>
        <w:ind w:left="317" w:hanging="202"/>
        <w:rPr>
          <w:rFonts w:cs="Arial"/>
        </w:rPr>
      </w:pPr>
      <w:r w:rsidRPr="00550BA4">
        <w:rPr>
          <w:rFonts w:cs="Arial"/>
        </w:rPr>
        <w:t>PROTECT meaningful consultation, public participation, and the rights and role of Tribal Nations.</w:t>
      </w:r>
    </w:p>
    <w:p w14:paraId="6AE9759D" w14:textId="77777777" w:rsidR="0098021B" w:rsidRPr="00550BA4" w:rsidRDefault="00000000" w:rsidP="00550BA4">
      <w:pPr>
        <w:pStyle w:val="ListBullet"/>
        <w:keepLines/>
        <w:spacing w:after="0"/>
        <w:ind w:left="317" w:hanging="202"/>
        <w:rPr>
          <w:rFonts w:cs="Arial"/>
        </w:rPr>
      </w:pPr>
      <w:r w:rsidRPr="00550BA4">
        <w:rPr>
          <w:rFonts w:cs="Arial"/>
        </w:rPr>
        <w:t>PRESERVE consideration of ways to avoid, minimize, or mitigate harm.</w:t>
      </w:r>
    </w:p>
    <w:p w14:paraId="1951E9BF" w14:textId="77777777" w:rsidR="0098021B" w:rsidRPr="00550BA4" w:rsidRDefault="00000000" w:rsidP="00550BA4">
      <w:pPr>
        <w:pStyle w:val="ListBullet"/>
        <w:keepLines/>
        <w:spacing w:after="0"/>
        <w:ind w:left="317" w:hanging="202"/>
        <w:rPr>
          <w:rFonts w:cs="Arial"/>
        </w:rPr>
      </w:pPr>
      <w:r w:rsidRPr="00550BA4">
        <w:rPr>
          <w:rFonts w:cs="Arial"/>
        </w:rPr>
        <w:t>SUPPORT evidence-based improvements that make Section 106 work better without sacrificing its core protections.</w:t>
      </w:r>
    </w:p>
    <w:p w14:paraId="2C13A07D" w14:textId="77777777" w:rsidR="00550BA4" w:rsidRDefault="00550BA4" w:rsidP="00550BA4">
      <w:pPr>
        <w:keepLines/>
        <w:spacing w:before="100" w:after="0"/>
        <w:jc w:val="center"/>
        <w:rPr>
          <w:rFonts w:cs="Arial"/>
          <w:b/>
          <w:sz w:val="24"/>
        </w:rPr>
      </w:pPr>
    </w:p>
    <w:p w14:paraId="7680F277" w14:textId="35056C2C" w:rsidR="0098021B" w:rsidRPr="00550BA4" w:rsidRDefault="7F2F87D0" w:rsidP="00550BA4">
      <w:pPr>
        <w:keepLines/>
        <w:spacing w:before="100" w:after="0"/>
        <w:jc w:val="center"/>
        <w:rPr>
          <w:rFonts w:cs="Arial"/>
        </w:rPr>
      </w:pPr>
      <w:r w:rsidRPr="7F2F87D0">
        <w:rPr>
          <w:rFonts w:cs="Arial"/>
          <w:b/>
          <w:bCs/>
          <w:sz w:val="24"/>
          <w:szCs w:val="24"/>
        </w:rPr>
        <w:t>IMPROVE SECTION 106. MAKE IT WORK EVEN BETTER. BUT DON’T WEAKEN IT.</w:t>
      </w:r>
    </w:p>
    <w:p w14:paraId="102350C3" w14:textId="77777777" w:rsidR="00743875" w:rsidRDefault="00743875" w:rsidP="00743875">
      <w:pPr>
        <w:keepLines/>
        <w:spacing w:after="0"/>
        <w:rPr>
          <w:rFonts w:cs="Arial"/>
          <w:i/>
          <w:sz w:val="19"/>
        </w:rPr>
      </w:pPr>
    </w:p>
    <w:p w14:paraId="435B74FA" w14:textId="12929921" w:rsidR="7895DBB1" w:rsidRDefault="5189B96E" w:rsidP="7895DBB1">
      <w:pPr>
        <w:keepLines/>
        <w:spacing w:after="0"/>
      </w:pPr>
      <w:r>
        <w:lastRenderedPageBreak/>
        <w:t xml:space="preserve">   </w:t>
      </w:r>
      <w:r w:rsidR="7895DBB1">
        <w:rPr>
          <w:noProof/>
        </w:rPr>
        <w:drawing>
          <wp:inline distT="0" distB="0" distL="0" distR="0" wp14:anchorId="34F75A4B" wp14:editId="1AAB221F">
            <wp:extent cx="1289993" cy="1505697"/>
            <wp:effectExtent l="0" t="0" r="0" b="0"/>
            <wp:docPr id="53393740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8217046" name="Picture 838217046"/>
                    <pic:cNvPicPr/>
                  </pic:nvPicPr>
                  <pic:blipFill>
                    <a:blip r:embed="rId8">
                      <a:extLst>
                        <a:ext uri="{28A0092B-C50C-407E-A947-70E740481C1C}">
                          <a14:useLocalDpi xmlns:a14="http://schemas.microsoft.com/office/drawing/2010/main"/>
                        </a:ext>
                      </a:extLst>
                    </a:blip>
                    <a:stretch>
                      <a:fillRect/>
                    </a:stretch>
                  </pic:blipFill>
                  <pic:spPr>
                    <a:xfrm>
                      <a:off x="0" y="0"/>
                      <a:ext cx="1289993" cy="1505697"/>
                    </a:xfrm>
                    <a:prstGeom prst="rect">
                      <a:avLst/>
                    </a:prstGeom>
                  </pic:spPr>
                </pic:pic>
              </a:graphicData>
            </a:graphic>
          </wp:inline>
        </w:drawing>
      </w:r>
      <w:r>
        <w:t xml:space="preserve">       </w:t>
      </w:r>
      <w:r w:rsidR="7895DBB1">
        <w:rPr>
          <w:noProof/>
        </w:rPr>
        <w:drawing>
          <wp:inline distT="0" distB="0" distL="0" distR="0" wp14:anchorId="39398BF5" wp14:editId="5AF94EA7">
            <wp:extent cx="1275443" cy="1488713"/>
            <wp:effectExtent l="0" t="0" r="0" b="0"/>
            <wp:docPr id="76944228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135602" name="Picture 1856135602"/>
                    <pic:cNvPicPr/>
                  </pic:nvPicPr>
                  <pic:blipFill>
                    <a:blip r:embed="rId9">
                      <a:extLst>
                        <a:ext uri="{28A0092B-C50C-407E-A947-70E740481C1C}">
                          <a14:useLocalDpi xmlns:a14="http://schemas.microsoft.com/office/drawing/2010/main"/>
                        </a:ext>
                      </a:extLst>
                    </a:blip>
                    <a:stretch>
                      <a:fillRect/>
                    </a:stretch>
                  </pic:blipFill>
                  <pic:spPr>
                    <a:xfrm>
                      <a:off x="0" y="0"/>
                      <a:ext cx="1275443" cy="1488713"/>
                    </a:xfrm>
                    <a:prstGeom prst="rect">
                      <a:avLst/>
                    </a:prstGeom>
                  </pic:spPr>
                </pic:pic>
              </a:graphicData>
            </a:graphic>
          </wp:inline>
        </w:drawing>
      </w:r>
      <w:r>
        <w:t xml:space="preserve">        </w:t>
      </w:r>
      <w:r w:rsidR="7895DBB1">
        <w:rPr>
          <w:noProof/>
        </w:rPr>
        <w:drawing>
          <wp:inline distT="0" distB="0" distL="0" distR="0" wp14:anchorId="6EA28E6D" wp14:editId="14178D09">
            <wp:extent cx="1293729" cy="1510058"/>
            <wp:effectExtent l="0" t="0" r="0" b="0"/>
            <wp:docPr id="212742010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7420108" name="Picture 2127420108"/>
                    <pic:cNvPicPr/>
                  </pic:nvPicPr>
                  <pic:blipFill>
                    <a:blip r:embed="rId10">
                      <a:extLst>
                        <a:ext uri="{28A0092B-C50C-407E-A947-70E740481C1C}">
                          <a14:useLocalDpi xmlns:a14="http://schemas.microsoft.com/office/drawing/2010/main"/>
                        </a:ext>
                      </a:extLst>
                    </a:blip>
                    <a:stretch>
                      <a:fillRect/>
                    </a:stretch>
                  </pic:blipFill>
                  <pic:spPr>
                    <a:xfrm>
                      <a:off x="0" y="0"/>
                      <a:ext cx="1293729" cy="1510058"/>
                    </a:xfrm>
                    <a:prstGeom prst="rect">
                      <a:avLst/>
                    </a:prstGeom>
                  </pic:spPr>
                </pic:pic>
              </a:graphicData>
            </a:graphic>
          </wp:inline>
        </w:drawing>
      </w:r>
      <w:r>
        <w:t xml:space="preserve">        </w:t>
      </w:r>
      <w:r w:rsidR="7895DBB1">
        <w:rPr>
          <w:noProof/>
        </w:rPr>
        <w:drawing>
          <wp:inline distT="0" distB="0" distL="0" distR="0" wp14:anchorId="07C487EB" wp14:editId="4CD72B5A">
            <wp:extent cx="1288511" cy="1503968"/>
            <wp:effectExtent l="0" t="0" r="0" b="0"/>
            <wp:docPr id="145696396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6963960" name="Picture 1456963960"/>
                    <pic:cNvPicPr/>
                  </pic:nvPicPr>
                  <pic:blipFill>
                    <a:blip r:embed="rId11">
                      <a:extLst>
                        <a:ext uri="{28A0092B-C50C-407E-A947-70E740481C1C}">
                          <a14:useLocalDpi xmlns:a14="http://schemas.microsoft.com/office/drawing/2010/main"/>
                        </a:ext>
                      </a:extLst>
                    </a:blip>
                    <a:stretch>
                      <a:fillRect/>
                    </a:stretch>
                  </pic:blipFill>
                  <pic:spPr>
                    <a:xfrm>
                      <a:off x="0" y="0"/>
                      <a:ext cx="1288511" cy="1503968"/>
                    </a:xfrm>
                    <a:prstGeom prst="rect">
                      <a:avLst/>
                    </a:prstGeom>
                  </pic:spPr>
                </pic:pic>
              </a:graphicData>
            </a:graphic>
          </wp:inline>
        </w:drawing>
      </w:r>
      <w:r>
        <w:t xml:space="preserve">    </w:t>
      </w:r>
    </w:p>
    <w:p w14:paraId="6ABC8E8F" w14:textId="46195911" w:rsidR="01C83B27" w:rsidRDefault="01C83B27" w:rsidP="01C83B27">
      <w:pPr>
        <w:keepLines/>
        <w:spacing w:after="0"/>
      </w:pPr>
      <w:r>
        <w:t xml:space="preserve"> </w:t>
      </w:r>
    </w:p>
    <w:p w14:paraId="0F57ED48" w14:textId="6E66DF03" w:rsidR="7895DBB1" w:rsidRDefault="7895DBB1" w:rsidP="7895DBB1">
      <w:pPr>
        <w:keepLines/>
        <w:spacing w:after="0"/>
        <w:rPr>
          <w:rFonts w:cs="Arial"/>
          <w:i/>
          <w:iCs/>
          <w:sz w:val="19"/>
          <w:szCs w:val="19"/>
        </w:rPr>
      </w:pPr>
    </w:p>
    <w:p w14:paraId="6EA274CC" w14:textId="64CFBA19" w:rsidR="00743875" w:rsidRDefault="00743875" w:rsidP="00743875">
      <w:pPr>
        <w:keepLines/>
        <w:spacing w:after="0"/>
        <w:rPr>
          <w:rFonts w:cs="Arial"/>
          <w:i/>
          <w:sz w:val="19"/>
        </w:rPr>
      </w:pPr>
      <w:r>
        <w:rPr>
          <w:rFonts w:cs="Arial"/>
          <w:i/>
          <w:sz w:val="19"/>
        </w:rPr>
        <w:t xml:space="preserve">Press Release - </w:t>
      </w:r>
      <w:hyperlink r:id="rId12" w:history="1">
        <w:r w:rsidRPr="00BC1A96">
          <w:rPr>
            <w:rStyle w:val="Hyperlink"/>
            <w:rFonts w:cs="Arial"/>
            <w:i/>
            <w:sz w:val="19"/>
          </w:rPr>
          <w:t>https://culturalheritagepartners.com/wp-content/uploads/2026/08/20260827-press-release-section-106-coalition-open-letter-to-congress.pdf</w:t>
        </w:r>
      </w:hyperlink>
    </w:p>
    <w:p w14:paraId="14ED5AB1" w14:textId="7C5C0850" w:rsidR="00743875" w:rsidRDefault="2CDC23D0" w:rsidP="2CDC23D0">
      <w:pPr>
        <w:keepLines/>
        <w:spacing w:after="0"/>
        <w:rPr>
          <w:rFonts w:cs="Arial"/>
          <w:i/>
          <w:iCs/>
          <w:sz w:val="19"/>
          <w:szCs w:val="19"/>
        </w:rPr>
      </w:pPr>
      <w:r w:rsidRPr="2CDC23D0">
        <w:rPr>
          <w:rFonts w:cs="Arial"/>
          <w:i/>
          <w:iCs/>
          <w:sz w:val="19"/>
          <w:szCs w:val="19"/>
        </w:rPr>
        <w:t xml:space="preserve">Letter to Congress - </w:t>
      </w:r>
      <w:hyperlink r:id="rId13">
        <w:r w:rsidRPr="2CDC23D0">
          <w:rPr>
            <w:rStyle w:val="Hyperlink"/>
            <w:i/>
            <w:iCs/>
            <w:sz w:val="19"/>
            <w:szCs w:val="19"/>
          </w:rPr>
          <w:t>https://culturalheritagepartners.com/wp-content/uploads/2026/08/20260828-section-106-coalition-open-letter-and-brief-to-congress-updated.pdf</w:t>
        </w:r>
      </w:hyperlink>
      <w:r w:rsidRPr="2CDC23D0">
        <w:rPr>
          <w:rFonts w:cs="Arial"/>
          <w:i/>
          <w:iCs/>
          <w:sz w:val="19"/>
          <w:szCs w:val="19"/>
        </w:rPr>
        <w:t xml:space="preserve"> </w:t>
      </w:r>
    </w:p>
    <w:p w14:paraId="505062FE" w14:textId="44145F06" w:rsidR="00743875" w:rsidRDefault="00743875" w:rsidP="00743875">
      <w:pPr>
        <w:keepLines/>
        <w:spacing w:after="0"/>
        <w:rPr>
          <w:rFonts w:cs="Arial"/>
          <w:i/>
          <w:sz w:val="19"/>
        </w:rPr>
      </w:pPr>
      <w:r>
        <w:rPr>
          <w:rFonts w:cs="Arial"/>
          <w:i/>
          <w:sz w:val="19"/>
        </w:rPr>
        <w:t xml:space="preserve">Signatories - </w:t>
      </w:r>
      <w:hyperlink r:id="rId14" w:history="1">
        <w:r w:rsidRPr="00BC1A96">
          <w:rPr>
            <w:rStyle w:val="Hyperlink"/>
            <w:rFonts w:cs="Arial"/>
            <w:i/>
            <w:sz w:val="19"/>
          </w:rPr>
          <w:t>https://culturalheritagepartners.com/open-letter-to-congress-from-national-coalition/</w:t>
        </w:r>
      </w:hyperlink>
    </w:p>
    <w:p w14:paraId="12372F7A" w14:textId="48D68C92" w:rsidR="00743875" w:rsidRDefault="00743875" w:rsidP="00743875">
      <w:pPr>
        <w:keepLines/>
        <w:spacing w:after="0"/>
        <w:rPr>
          <w:rFonts w:cs="Arial"/>
          <w:i/>
          <w:sz w:val="19"/>
        </w:rPr>
      </w:pPr>
      <w:r>
        <w:rPr>
          <w:rFonts w:cs="Arial"/>
          <w:i/>
          <w:sz w:val="19"/>
        </w:rPr>
        <w:t xml:space="preserve">Learn More - </w:t>
      </w:r>
      <w:hyperlink r:id="rId15" w:history="1">
        <w:r w:rsidRPr="00BC1A96">
          <w:rPr>
            <w:rStyle w:val="Hyperlink"/>
            <w:rFonts w:cs="Arial"/>
            <w:i/>
            <w:sz w:val="19"/>
          </w:rPr>
          <w:t>https://culturalheritagepartners.com/war-room-for-threats-to-section-106/</w:t>
        </w:r>
      </w:hyperlink>
    </w:p>
    <w:p w14:paraId="29B37657" w14:textId="77777777" w:rsidR="00743875" w:rsidRDefault="00743875" w:rsidP="00743875">
      <w:pPr>
        <w:keepLines/>
        <w:spacing w:after="0"/>
        <w:rPr>
          <w:rFonts w:cs="Arial"/>
          <w:i/>
          <w:sz w:val="19"/>
        </w:rPr>
      </w:pPr>
    </w:p>
    <w:p w14:paraId="12CD078B" w14:textId="77777777" w:rsidR="00743875" w:rsidRDefault="00743875" w:rsidP="00743875">
      <w:pPr>
        <w:keepLines/>
        <w:spacing w:after="0"/>
        <w:rPr>
          <w:rFonts w:cs="Arial"/>
          <w:i/>
          <w:sz w:val="19"/>
        </w:rPr>
      </w:pPr>
    </w:p>
    <w:p w14:paraId="0A573AC6" w14:textId="77777777" w:rsidR="00743875" w:rsidRDefault="00743875" w:rsidP="00743875">
      <w:pPr>
        <w:keepLines/>
        <w:spacing w:after="0"/>
        <w:rPr>
          <w:rFonts w:cs="Arial"/>
          <w:i/>
          <w:sz w:val="19"/>
        </w:rPr>
      </w:pPr>
    </w:p>
    <w:p w14:paraId="41989DB3" w14:textId="77777777" w:rsidR="00743875" w:rsidRPr="00550BA4" w:rsidRDefault="00743875" w:rsidP="00743875">
      <w:pPr>
        <w:keepLines/>
        <w:spacing w:after="0"/>
        <w:rPr>
          <w:rFonts w:cs="Arial"/>
        </w:rPr>
      </w:pPr>
    </w:p>
    <w:sectPr w:rsidR="00743875" w:rsidRPr="00550BA4" w:rsidSect="00034616">
      <w:footerReference w:type="default" r:id="rId16"/>
      <w:pgSz w:w="12240" w:h="15840"/>
      <w:pgMar w:top="648" w:right="792" w:bottom="648" w:left="792" w:header="36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A3628A" w14:textId="77777777" w:rsidR="00C63253" w:rsidRDefault="00C63253">
      <w:pPr>
        <w:spacing w:after="0"/>
      </w:pPr>
      <w:r>
        <w:separator/>
      </w:r>
    </w:p>
  </w:endnote>
  <w:endnote w:type="continuationSeparator" w:id="0">
    <w:p w14:paraId="57C368E3" w14:textId="77777777" w:rsidR="00C63253" w:rsidRDefault="00C6325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altName w:val="Courier New"/>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6F767" w14:textId="77777777" w:rsidR="0098021B" w:rsidRDefault="00000000">
    <w:pPr>
      <w:pStyle w:val="Footer"/>
      <w:jc w:val="center"/>
    </w:pPr>
    <w:r>
      <w:rPr>
        <w:sz w:val="18"/>
      </w:rPr>
      <w:fldChar w:fldCharType="begin"/>
    </w:r>
    <w:r>
      <w:rPr>
        <w:sz w:val="18"/>
      </w:rPr>
      <w:instrText xml:space="preserve"> PAGE </w:instrText>
    </w:r>
    <w:r>
      <w:rPr>
        <w:sz w:val="18"/>
      </w:rPr>
      <w:fldChar w:fldCharType="separate"/>
    </w:r>
    <w:r w:rsidR="00550BA4">
      <w:rPr>
        <w:noProof/>
        <w:sz w:val="18"/>
      </w:rPr>
      <w:t>1</w:t>
    </w:r>
    <w:r>
      <w:rPr>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A13E97" w14:textId="77777777" w:rsidR="00C63253" w:rsidRDefault="00C63253">
      <w:pPr>
        <w:spacing w:after="0"/>
      </w:pPr>
      <w:r>
        <w:separator/>
      </w:r>
    </w:p>
  </w:footnote>
  <w:footnote w:type="continuationSeparator" w:id="0">
    <w:p w14:paraId="1E9A71EC" w14:textId="77777777" w:rsidR="00C63253" w:rsidRDefault="00C63253">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072195250">
    <w:abstractNumId w:val="8"/>
  </w:num>
  <w:num w:numId="2" w16cid:durableId="299698877">
    <w:abstractNumId w:val="6"/>
  </w:num>
  <w:num w:numId="3" w16cid:durableId="225919708">
    <w:abstractNumId w:val="5"/>
  </w:num>
  <w:num w:numId="4" w16cid:durableId="1069155316">
    <w:abstractNumId w:val="4"/>
  </w:num>
  <w:num w:numId="5" w16cid:durableId="324357491">
    <w:abstractNumId w:val="7"/>
  </w:num>
  <w:num w:numId="6" w16cid:durableId="195705766">
    <w:abstractNumId w:val="3"/>
  </w:num>
  <w:num w:numId="7" w16cid:durableId="434443898">
    <w:abstractNumId w:val="2"/>
  </w:num>
  <w:num w:numId="8" w16cid:durableId="660080967">
    <w:abstractNumId w:val="1"/>
  </w:num>
  <w:num w:numId="9" w16cid:durableId="14324371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14571"/>
    <w:rsid w:val="0015074B"/>
    <w:rsid w:val="0029639D"/>
    <w:rsid w:val="00326F90"/>
    <w:rsid w:val="00550BA4"/>
    <w:rsid w:val="00661992"/>
    <w:rsid w:val="00743875"/>
    <w:rsid w:val="008E6054"/>
    <w:rsid w:val="0098021B"/>
    <w:rsid w:val="009D7219"/>
    <w:rsid w:val="00AA1D8D"/>
    <w:rsid w:val="00B47730"/>
    <w:rsid w:val="00C63253"/>
    <w:rsid w:val="00CB0664"/>
    <w:rsid w:val="00E37363"/>
    <w:rsid w:val="00E53C14"/>
    <w:rsid w:val="00ED3329"/>
    <w:rsid w:val="00FC693F"/>
    <w:rsid w:val="01C83B27"/>
    <w:rsid w:val="14595484"/>
    <w:rsid w:val="14D0BF7E"/>
    <w:rsid w:val="2CDC23D0"/>
    <w:rsid w:val="4743FC74"/>
    <w:rsid w:val="5189B96E"/>
    <w:rsid w:val="7895DBB1"/>
    <w:rsid w:val="7F2F87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887C1F9"/>
  <w14:defaultImageDpi w14:val="300"/>
  <w15:docId w15:val="{F15612F9-B217-46CD-8721-E3B7D5BFA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60" w:line="240" w:lineRule="auto"/>
    </w:pPr>
    <w:rPr>
      <w:rFonts w:ascii="Arial" w:hAnsi="Arial"/>
    </w:rPr>
  </w:style>
  <w:style w:type="paragraph" w:styleId="Heading1">
    <w:name w:val="heading 1"/>
    <w:basedOn w:val="Normal"/>
    <w:next w:val="Normal"/>
    <w:link w:val="Heading1Char"/>
    <w:uiPriority w:val="9"/>
    <w:qFormat/>
    <w:rsid w:val="00FC693F"/>
    <w:pPr>
      <w:keepNext/>
      <w:keepLines/>
      <w:spacing w:before="12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12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before="120"/>
      <w:contextualSpacing/>
    </w:pPr>
    <w:rPr>
      <w:rFonts w:asciiTheme="majorHAnsi" w:eastAsiaTheme="majorEastAsia" w:hAnsiTheme="majorHAnsi" w:cstheme="majorBidi"/>
      <w:b/>
      <w:color w:val="17365D" w:themeColor="text2" w:themeShade="BF"/>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spacing w:before="120"/>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743875"/>
    <w:rPr>
      <w:color w:val="0000FF" w:themeColor="hyperlink"/>
      <w:u w:val="single"/>
    </w:rPr>
  </w:style>
  <w:style w:type="character" w:styleId="UnresolvedMention">
    <w:name w:val="Unresolved Mention"/>
    <w:basedOn w:val="DefaultParagraphFont"/>
    <w:uiPriority w:val="99"/>
    <w:semiHidden/>
    <w:unhideWhenUsed/>
    <w:rsid w:val="007438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culturalheritagepartners.com/wp-content/uploads/2026/08/20260828-section-106-coalition-open-letter-and-brief-to-congress-updated.pdf"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ulturalheritagepartners.com/wp-content/uploads/2026/08/20260827-press-release-section-106-coalition-open-letter-to-congress.pdf"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hyperlink" Target="https://culturalheritagepartners.com/war-room-for-threats-to-section-106/" TargetMode="Externa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yperlink" Target="https://culturalheritagepartners.com/open-letter-to-congress-from-national-coali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556</Words>
  <Characters>3136</Characters>
  <Application>Microsoft Office Word</Application>
  <DocSecurity>0</DocSecurity>
  <Lines>101</Lines>
  <Paragraphs>44</Paragraphs>
  <ScaleCrop>false</ScaleCrop>
  <Manager/>
  <Company/>
  <LinksUpToDate>false</LinksUpToDate>
  <CharactersWithSpaces>3648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Ellen Chapman</cp:lastModifiedBy>
  <cp:revision>14</cp:revision>
  <dcterms:created xsi:type="dcterms:W3CDTF">2026-08-28T15:42:00Z</dcterms:created>
  <dcterms:modified xsi:type="dcterms:W3CDTF">2026-08-28T17:14:00Z</dcterms:modified>
  <cp:category/>
</cp:coreProperties>
</file>